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rPr>
          <w:rFonts w:hint="eastAsia"/>
          <w:b/>
          <w:bCs/>
          <w:sz w:val="32"/>
          <w:szCs w:val="32"/>
          <w:lang w:eastAsia="zh-CN"/>
        </w:rPr>
        <w:t>附</w:t>
      </w:r>
      <w:r>
        <w:rPr>
          <w:rFonts w:hint="eastAsia"/>
          <w:b/>
          <w:bCs/>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2018年度部管社会组织党建述职评议考核自评打分表</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left"/>
        <w:textAlignment w:val="auto"/>
        <w:outlineLvl w:val="9"/>
        <w:rPr>
          <w:rFonts w:hint="eastAsia" w:ascii="黑体" w:hAnsi="黑体" w:eastAsia="黑体" w:cs="黑体"/>
          <w:sz w:val="30"/>
          <w:szCs w:val="30"/>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left"/>
        <w:textAlignment w:val="auto"/>
        <w:outlineLvl w:val="9"/>
        <w:rPr>
          <w:rFonts w:hint="eastAsia" w:ascii="黑体" w:hAnsi="黑体" w:eastAsia="黑体" w:cs="黑体"/>
          <w:sz w:val="30"/>
          <w:szCs w:val="30"/>
          <w:lang w:val="en-US" w:eastAsia="zh-CN"/>
        </w:rPr>
      </w:pPr>
      <w:r>
        <w:rPr>
          <w:rFonts w:hint="eastAsia" w:ascii="黑体" w:hAnsi="黑体" w:eastAsia="黑体" w:cs="黑体"/>
          <w:sz w:val="30"/>
          <w:szCs w:val="30"/>
          <w:lang w:val="en-US" w:eastAsia="zh-CN"/>
        </w:rPr>
        <w:t>单位：（盖章）                            书记签名：                   日期：    年    月   日</w:t>
      </w:r>
    </w:p>
    <w:p/>
    <w:tbl>
      <w:tblPr>
        <w:tblStyle w:val="5"/>
        <w:tblW w:w="13991" w:type="dxa"/>
        <w:tblInd w:w="8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651"/>
        <w:gridCol w:w="3470"/>
        <w:gridCol w:w="3510"/>
        <w:gridCol w:w="767"/>
        <w:gridCol w:w="958"/>
        <w:gridCol w:w="46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2"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序号</w:t>
            </w:r>
          </w:p>
        </w:tc>
        <w:tc>
          <w:tcPr>
            <w:tcW w:w="3470" w:type="dxa"/>
            <w:tcBorders>
              <w:top w:val="single" w:color="auto" w:sz="4" w:space="0"/>
              <w:left w:val="nil"/>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 xml:space="preserve">指 标 内 容 </w:t>
            </w:r>
          </w:p>
        </w:tc>
        <w:tc>
          <w:tcPr>
            <w:tcW w:w="3510" w:type="dxa"/>
            <w:tcBorders>
              <w:top w:val="single" w:color="auto" w:sz="4" w:space="0"/>
              <w:left w:val="nil"/>
              <w:bottom w:val="single" w:color="auto" w:sz="4" w:space="0"/>
              <w:right w:val="nil"/>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评 分 标 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分值</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黑体" w:eastAsia="仿宋_GB2312" w:cs="宋体"/>
                <w:b/>
                <w:kern w:val="0"/>
                <w:szCs w:val="21"/>
                <w:lang w:eastAsia="zh-CN"/>
              </w:rPr>
            </w:pPr>
            <w:r>
              <w:rPr>
                <w:rFonts w:hint="eastAsia" w:ascii="仿宋_GB2312" w:hAnsi="黑体" w:eastAsia="仿宋_GB2312" w:cs="宋体"/>
                <w:b/>
                <w:kern w:val="0"/>
                <w:szCs w:val="21"/>
                <w:lang w:eastAsia="zh-CN"/>
              </w:rPr>
              <w:t>自评分</w:t>
            </w: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黑体" w:eastAsia="仿宋_GB2312" w:cs="宋体"/>
                <w:b/>
                <w:kern w:val="0"/>
                <w:szCs w:val="21"/>
                <w:lang w:eastAsia="zh-CN"/>
              </w:rPr>
            </w:pPr>
            <w:r>
              <w:rPr>
                <w:rFonts w:hint="eastAsia" w:ascii="仿宋_GB2312" w:hAnsi="黑体" w:eastAsia="仿宋_GB2312" w:cs="宋体"/>
                <w:b/>
                <w:kern w:val="0"/>
                <w:szCs w:val="21"/>
                <w:lang w:eastAsia="zh-CN"/>
              </w:rPr>
              <w:t>得分理由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62" w:hRule="atLeast"/>
        </w:trPr>
        <w:tc>
          <w:tcPr>
            <w:tcW w:w="13991" w:type="dxa"/>
            <w:gridSpan w:val="6"/>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b/>
                <w:kern w:val="0"/>
                <w:sz w:val="30"/>
                <w:szCs w:val="30"/>
              </w:rPr>
            </w:pPr>
            <w:r>
              <w:rPr>
                <w:rFonts w:hint="eastAsia" w:ascii="仿宋_GB2312" w:hAnsi="宋体" w:eastAsia="仿宋_GB2312" w:cs="宋体"/>
                <w:b/>
                <w:kern w:val="0"/>
                <w:sz w:val="30"/>
                <w:szCs w:val="30"/>
              </w:rPr>
              <w:t>基础指标：90分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59" w:hRule="atLeast"/>
        </w:trPr>
        <w:tc>
          <w:tcPr>
            <w:tcW w:w="7631" w:type="dxa"/>
            <w:gridSpan w:val="3"/>
            <w:tcBorders>
              <w:top w:val="single" w:color="auto" w:sz="4" w:space="0"/>
              <w:left w:val="single" w:color="auto" w:sz="4" w:space="0"/>
              <w:bottom w:val="nil"/>
              <w:right w:val="single" w:color="auto" w:sz="4" w:space="0"/>
            </w:tcBorders>
            <w:vAlign w:val="center"/>
          </w:tcPr>
          <w:p>
            <w:pPr>
              <w:widowControl/>
              <w:jc w:val="left"/>
              <w:rPr>
                <w:rFonts w:ascii="仿宋_GB2312" w:hAnsi="黑体" w:eastAsia="仿宋_GB2312" w:cs="宋体"/>
                <w:b/>
                <w:kern w:val="0"/>
                <w:szCs w:val="21"/>
              </w:rPr>
            </w:pPr>
            <w:r>
              <w:rPr>
                <w:rFonts w:hint="eastAsia" w:ascii="仿宋_GB2312" w:hAnsi="黑体" w:eastAsia="仿宋_GB2312" w:cs="宋体"/>
                <w:b/>
                <w:kern w:val="0"/>
                <w:szCs w:val="21"/>
              </w:rPr>
              <w:t>组织设置和制度落实情况：</w:t>
            </w:r>
          </w:p>
        </w:tc>
        <w:tc>
          <w:tcPr>
            <w:tcW w:w="767" w:type="dxa"/>
            <w:tcBorders>
              <w:top w:val="nil"/>
              <w:left w:val="nil"/>
              <w:bottom w:val="nil"/>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23分</w:t>
            </w:r>
          </w:p>
        </w:tc>
        <w:tc>
          <w:tcPr>
            <w:tcW w:w="958" w:type="dxa"/>
            <w:tcBorders>
              <w:top w:val="nil"/>
              <w:left w:val="nil"/>
              <w:bottom w:val="nil"/>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nil"/>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16"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lang w:eastAsia="zh-CN"/>
              </w:rPr>
              <w:t>部管社会组织</w:t>
            </w:r>
            <w:r>
              <w:rPr>
                <w:rFonts w:hint="eastAsia" w:ascii="仿宋_GB2312" w:hAnsi="宋体" w:eastAsia="仿宋_GB2312" w:cs="宋体"/>
                <w:kern w:val="0"/>
                <w:szCs w:val="21"/>
              </w:rPr>
              <w:t>能按照相关要求及时成立党组织。</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单独成立党组织的得3分，联合成立党组织的得2分。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2"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党组织做到按时换届，书记缺额及时补选。</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按时换届且党</w:t>
            </w:r>
            <w:r>
              <w:rPr>
                <w:rFonts w:hint="eastAsia" w:ascii="仿宋_GB2312" w:hAnsi="宋体" w:eastAsia="仿宋_GB2312" w:cs="宋体"/>
                <w:kern w:val="0"/>
                <w:szCs w:val="21"/>
                <w:lang w:eastAsia="zh-CN"/>
              </w:rPr>
              <w:t>组织</w:t>
            </w:r>
            <w:r>
              <w:rPr>
                <w:rFonts w:hint="eastAsia" w:ascii="仿宋_GB2312" w:hAnsi="宋体" w:eastAsia="仿宋_GB2312" w:cs="宋体"/>
                <w:kern w:val="0"/>
                <w:szCs w:val="21"/>
              </w:rPr>
              <w:t>书记缺额及时补选</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得2分，未做到</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不得分。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5"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3</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党组织的工作做到年初有计划、年终有总结。</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有计划、总结的书面材料各得1分。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14"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4</w:t>
            </w:r>
          </w:p>
        </w:tc>
        <w:tc>
          <w:tcPr>
            <w:tcW w:w="347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党组织每年年底向上级党委提交党建述职报告，隶属其他党委的党组织同时要把述职报告交中心党委备案。</w:t>
            </w:r>
          </w:p>
        </w:tc>
        <w:tc>
          <w:tcPr>
            <w:tcW w:w="351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述职报告按时提交</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述职报告条理清晰、内容详实</w:t>
            </w:r>
            <w:r>
              <w:rPr>
                <w:rFonts w:hint="eastAsia" w:ascii="仿宋_GB2312" w:hAnsi="宋体" w:eastAsia="仿宋_GB2312" w:cs="宋体"/>
                <w:kern w:val="0"/>
                <w:szCs w:val="21"/>
                <w:lang w:eastAsia="zh-CN"/>
              </w:rPr>
              <w:t>的得</w:t>
            </w:r>
            <w:r>
              <w:rPr>
                <w:rFonts w:hint="eastAsia" w:ascii="仿宋_GB2312" w:hAnsi="宋体" w:eastAsia="仿宋_GB2312" w:cs="宋体"/>
                <w:kern w:val="0"/>
                <w:szCs w:val="21"/>
              </w:rPr>
              <w:t>1分。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7"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5</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严格落实“三会一课”制度。每季度召开1次党员大会，每月召开1次支委会，每月召开1-2次党小组会，每年上2次党课。</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“三会一课”的召开情况通过党建平台报送，按照要求定期召开党员大会、支委会、党小组会</w:t>
            </w:r>
            <w:r>
              <w:rPr>
                <w:rFonts w:hint="eastAsia" w:ascii="仿宋_GB2312" w:hAnsi="宋体" w:eastAsia="仿宋_GB2312" w:cs="宋体"/>
                <w:kern w:val="0"/>
                <w:szCs w:val="21"/>
                <w:lang w:eastAsia="zh-CN"/>
              </w:rPr>
              <w:t>，上</w:t>
            </w:r>
            <w:r>
              <w:rPr>
                <w:rFonts w:hint="eastAsia" w:ascii="仿宋_GB2312" w:hAnsi="宋体" w:eastAsia="仿宋_GB2312" w:cs="宋体"/>
                <w:kern w:val="0"/>
                <w:szCs w:val="21"/>
              </w:rPr>
              <w:t>党课</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各得1分。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98"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6</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党支部每半年召开1次组织生活会，参加人员为党支部的全体党员；设党委的社会组织每年年底召开民主生活会。</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会议的参加人员、召开程序以及讨论内容均符合相关规定</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得1分；及时向上级党委报送会议材料</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得1分；查摆整改材料剖析到位、措施具体</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73"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7</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每半年开展一次谈心活动，及时掌握党员干部的思想状况，做好经常性的思想政治工作。</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每开展一次得1分，谈心活动应有相关记录。</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34"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8</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每年年底对党员进行一次民主评议，评议结果需在本组织内进行公开，同时报上级党委。</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按规定开展民主评议的得1分；向党员公开且上报上级党委</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52"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9</w:t>
            </w:r>
          </w:p>
        </w:tc>
        <w:tc>
          <w:tcPr>
            <w:tcW w:w="3470" w:type="dxa"/>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充分利用部管社会组织党建平台开展学习和上报党建工作信息，提升党建工作信息化水平。</w:t>
            </w:r>
          </w:p>
        </w:tc>
        <w:tc>
          <w:tcPr>
            <w:tcW w:w="3510" w:type="dxa"/>
            <w:tcBorders>
              <w:top w:val="single" w:color="auto" w:sz="4" w:space="0"/>
              <w:left w:val="single" w:color="auto" w:sz="4" w:space="0"/>
              <w:bottom w:val="single" w:color="auto" w:sz="4" w:space="0"/>
              <w:right w:val="single" w:color="auto" w:sz="4" w:space="0"/>
            </w:tcBorders>
            <w:vAlign w:val="top"/>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党建活跃度全年排名前30%的党组织得2分，排名后10%的党组织不得分，其余的得1分。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single" w:color="auto" w:sz="4" w:space="0"/>
              <w:bottom w:val="single" w:color="auto" w:sz="4" w:space="0"/>
              <w:right w:val="single" w:color="auto" w:sz="4" w:space="0"/>
            </w:tcBorders>
            <w:vAlign w:val="top"/>
          </w:tcPr>
          <w:p>
            <w:pPr>
              <w:widowControl/>
              <w:jc w:val="left"/>
              <w:rPr>
                <w:rFonts w:hint="eastAsia" w:ascii="仿宋_GB2312" w:hAnsi="宋体" w:eastAsia="仿宋_GB2312" w:cs="宋体"/>
                <w:kern w:val="0"/>
                <w:szCs w:val="21"/>
              </w:rPr>
            </w:pPr>
          </w:p>
        </w:tc>
        <w:tc>
          <w:tcPr>
            <w:tcW w:w="4635" w:type="dxa"/>
            <w:tcBorders>
              <w:top w:val="single" w:color="auto" w:sz="4" w:space="0"/>
              <w:left w:val="single" w:color="auto" w:sz="4" w:space="0"/>
              <w:bottom w:val="single" w:color="auto" w:sz="4" w:space="0"/>
              <w:right w:val="single" w:color="auto" w:sz="4" w:space="0"/>
            </w:tcBorders>
            <w:vAlign w:val="top"/>
          </w:tcPr>
          <w:p>
            <w:pPr>
              <w:widowControl/>
              <w:jc w:val="left"/>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2" w:hRule="atLeast"/>
        </w:trPr>
        <w:tc>
          <w:tcPr>
            <w:tcW w:w="7631"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b/>
                <w:kern w:val="0"/>
                <w:szCs w:val="21"/>
              </w:rPr>
            </w:pPr>
            <w:r>
              <w:rPr>
                <w:rFonts w:hint="eastAsia" w:ascii="仿宋_GB2312" w:hAnsi="黑体" w:eastAsia="仿宋_GB2312" w:cs="宋体"/>
                <w:b/>
                <w:kern w:val="0"/>
                <w:szCs w:val="21"/>
              </w:rPr>
              <w:t>党员教育管理情况：</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22分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24"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10</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继续推进“两学一做”学习教育常态化制度化，组织开展“不忘初心、牢记使命”主题教育。</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制定了主题教育的方案</w:t>
            </w:r>
            <w:r>
              <w:rPr>
                <w:rFonts w:hint="eastAsia" w:ascii="仿宋_GB2312" w:hAnsi="宋体" w:eastAsia="仿宋_GB2312" w:cs="宋体"/>
                <w:kern w:val="0"/>
                <w:szCs w:val="21"/>
                <w:lang w:eastAsia="zh-CN"/>
              </w:rPr>
              <w:t>的得</w:t>
            </w:r>
            <w:r>
              <w:rPr>
                <w:rFonts w:hint="eastAsia" w:ascii="仿宋_GB2312" w:hAnsi="宋体" w:eastAsia="仿宋_GB2312" w:cs="宋体"/>
                <w:kern w:val="0"/>
                <w:szCs w:val="21"/>
                <w:lang w:val="en-US" w:eastAsia="zh-CN"/>
              </w:rPr>
              <w:t>2分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并且在“三会一课”、主题党日活动中具体贯彻落实</w:t>
            </w:r>
            <w:r>
              <w:rPr>
                <w:rFonts w:hint="eastAsia" w:ascii="仿宋_GB2312" w:hAnsi="宋体" w:eastAsia="仿宋_GB2312" w:cs="宋体"/>
                <w:kern w:val="0"/>
                <w:szCs w:val="21"/>
                <w:lang w:eastAsia="zh-CN"/>
              </w:rPr>
              <w:t>的得</w:t>
            </w:r>
            <w:r>
              <w:rPr>
                <w:rFonts w:hint="eastAsia" w:ascii="仿宋_GB2312" w:hAnsi="宋体" w:eastAsia="仿宋_GB2312" w:cs="宋体"/>
                <w:kern w:val="0"/>
                <w:szCs w:val="21"/>
                <w:lang w:val="en-US" w:eastAsia="zh-CN"/>
              </w:rPr>
              <w:t>2分</w:t>
            </w:r>
            <w:r>
              <w:rPr>
                <w:rFonts w:hint="eastAsia" w:ascii="仿宋_GB2312" w:hAnsi="宋体" w:eastAsia="仿宋_GB2312" w:cs="宋体"/>
                <w:kern w:val="0"/>
                <w:szCs w:val="21"/>
              </w:rPr>
              <w:t>。</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11"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11</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建立党员学习教育台账，记录党员学习教育情况，确保党员每年参加上级党组织安排或者本党组织安排的教育培训时间累计不少于24学时，其中领导班子成员不少于40学时。</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查看学习记录，全部党员达到学习时间要求</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得2分，部分党员达到</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得1分，完全未达到不得分。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76"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12</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党员的组织关系做到应转尽转。</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专职负责人和专职工作人员中的党员组织关系均转入的得2分；民政部及所属单位退休党员在社会组织兼职的，其组织关系转入的得1分；其他工作人员组织关系转入的得1分。（如果没有民政部及所属单位退休党员兼职的，且其他工作人员组织关系转入，可得2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01"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13</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严格党员组织关系的管理，将党员信息登记造册，实现动态管理。</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有党员组织关系管理规范制度的得1分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有党员信息名册</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无离职党员组织关系滞留情况的得1分。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05"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14</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部管社会组织工作人员中的党员，如果其组织关系不在社会组织党组织中，可按照“一方隶属、参加多重组织生活”的方式参加所在社会组织党组织的组织生活。</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查阅相关记录后给分。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976"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15</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根据部管社会组织从业人员流动性</w:t>
            </w:r>
            <w:r>
              <w:rPr>
                <w:rFonts w:hint="eastAsia" w:ascii="仿宋_GB2312" w:hAnsi="宋体" w:eastAsia="仿宋_GB2312" w:cs="宋体"/>
                <w:kern w:val="0"/>
                <w:szCs w:val="21"/>
                <w:lang w:eastAsia="zh-CN"/>
              </w:rPr>
              <w:t>强</w:t>
            </w:r>
            <w:r>
              <w:rPr>
                <w:rFonts w:hint="eastAsia" w:ascii="仿宋_GB2312" w:hAnsi="宋体" w:eastAsia="仿宋_GB2312" w:cs="宋体"/>
                <w:kern w:val="0"/>
                <w:szCs w:val="21"/>
              </w:rPr>
              <w:t>的特点，及时、规范地开展入党积极分子的培养工作。</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党支部在收到入党申请书一个月内派人同申请人谈话（谈话形成书面记录）</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得1分；召开党员大会或支委会确定入党积极分子，且及时将会议情况向上级党委报备</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得2分；党支部为入党积极分子指定培养联系人，且每半年对其进行一次考察（需形成书面意见）</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989"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16</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党费收缴标准符合规定；党费收缴能坚持每月进行，收缴情况能及时在支部</w:t>
            </w:r>
            <w:r>
              <w:rPr>
                <w:rFonts w:hint="eastAsia" w:ascii="仿宋_GB2312" w:hAnsi="宋体" w:eastAsia="仿宋_GB2312" w:cs="宋体"/>
                <w:kern w:val="0"/>
                <w:szCs w:val="21"/>
                <w:lang w:eastAsia="zh-CN"/>
              </w:rPr>
              <w:t>工作手</w:t>
            </w:r>
            <w:r>
              <w:rPr>
                <w:rFonts w:hint="eastAsia" w:ascii="仿宋_GB2312" w:hAnsi="宋体" w:eastAsia="仿宋_GB2312" w:cs="宋体"/>
                <w:kern w:val="0"/>
                <w:szCs w:val="21"/>
              </w:rPr>
              <w:t>册中记载并进行公布；能及时向上级组织上缴党费，且手续完备。</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收缴标准符合规定的得1分；党员按月上缴党费的得1分；每年年底及时上缴的得1分。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79" w:hRule="atLeast"/>
        </w:trPr>
        <w:tc>
          <w:tcPr>
            <w:tcW w:w="7631"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b/>
                <w:kern w:val="0"/>
                <w:szCs w:val="21"/>
              </w:rPr>
            </w:pPr>
            <w:r>
              <w:rPr>
                <w:rFonts w:hint="eastAsia" w:ascii="仿宋_GB2312" w:hAnsi="黑体" w:eastAsia="仿宋_GB2312" w:cs="宋体"/>
                <w:b/>
                <w:kern w:val="0"/>
                <w:szCs w:val="21"/>
              </w:rPr>
              <w:t>作用发挥情况：</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24分</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541"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17</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制定了十九大精神的学习计划或方案，严格落实方案要求，切实将学习宣传贯彻习近平新时代中国特色社会主义思想和党的十九大精神与开展业务工作紧密结合，确保党中央的路线、方针、政策在社会组织得到贯彻落实。</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有计划或方案</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措施</w:t>
            </w:r>
            <w:r>
              <w:rPr>
                <w:rFonts w:hint="eastAsia" w:ascii="仿宋_GB2312" w:hAnsi="宋体" w:eastAsia="仿宋_GB2312" w:cs="宋体"/>
                <w:kern w:val="0"/>
                <w:szCs w:val="21"/>
                <w:lang w:eastAsia="zh-CN"/>
              </w:rPr>
              <w:t>明确</w:t>
            </w:r>
            <w:r>
              <w:rPr>
                <w:rFonts w:hint="eastAsia" w:ascii="仿宋_GB2312" w:hAnsi="宋体" w:eastAsia="仿宋_GB2312" w:cs="宋体"/>
                <w:kern w:val="0"/>
                <w:szCs w:val="21"/>
              </w:rPr>
              <w:t>、实施得当且有具体事例</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235"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18</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党组织要对社会组织的重要事项决策、重要业务活动、大额经费开支、接收大额捐赠、开展涉外活动等提出意见，确保社会组织的业务活动符合章程和国家相关法律法规要求。</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将</w:t>
            </w:r>
            <w:r>
              <w:rPr>
                <w:rFonts w:hint="eastAsia" w:ascii="仿宋_GB2312" w:hAnsi="宋体" w:eastAsia="仿宋_GB2312" w:cs="宋体"/>
                <w:kern w:val="0"/>
                <w:szCs w:val="21"/>
                <w:lang w:eastAsia="zh-CN"/>
              </w:rPr>
              <w:t>党组织</w:t>
            </w:r>
            <w:r>
              <w:rPr>
                <w:rFonts w:hint="eastAsia" w:ascii="仿宋_GB2312" w:hAnsi="宋体" w:eastAsia="仿宋_GB2312" w:cs="宋体"/>
                <w:kern w:val="0"/>
                <w:szCs w:val="21"/>
              </w:rPr>
              <w:t>参与重大议事决策写入章程</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得1分；有相关会议记录</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得1分；社会组织年检合格且没有行政处罚情况</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得2分；没有被列入异常活动名录或严重违法失信名单</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6分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83"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19</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积极组织开展主题党日活动，将党组织活动融入社会组织执业过程，且活动载体和形式新颖、有成效。</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lang w:eastAsia="zh-CN"/>
              </w:rPr>
              <w:t>开展</w:t>
            </w:r>
            <w:r>
              <w:rPr>
                <w:rFonts w:hint="eastAsia" w:ascii="仿宋_GB2312" w:hAnsi="宋体" w:eastAsia="仿宋_GB2312" w:cs="宋体"/>
                <w:kern w:val="0"/>
                <w:szCs w:val="21"/>
                <w:lang w:val="en-US" w:eastAsia="zh-CN"/>
              </w:rPr>
              <w:t>1次</w:t>
            </w:r>
            <w:r>
              <w:rPr>
                <w:rFonts w:hint="eastAsia" w:ascii="仿宋_GB2312" w:hAnsi="宋体" w:eastAsia="仿宋_GB2312" w:cs="宋体"/>
                <w:kern w:val="0"/>
                <w:szCs w:val="21"/>
              </w:rPr>
              <w:t>主题党日活动</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得1分（上限不超过4分）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承办部管社会组织“两学一做”主题党日活动的额外加1分。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5分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0"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20</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积极参加中心党委组织的各类会议培训。</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根据报送参会参训人员的及时性、人员出席率等酌情得分。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94"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21</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贯彻落实上级党委工作要求及时到位，对要求完成的各项党建工作能及时研究部署落实。</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根据工作记录酌情得分。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14"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22</w:t>
            </w:r>
          </w:p>
        </w:tc>
        <w:tc>
          <w:tcPr>
            <w:tcW w:w="347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工会、共青团和妇女工作纳入议事日程，有群团工作活动计划，相关工作得到群众认可。</w:t>
            </w:r>
          </w:p>
        </w:tc>
        <w:tc>
          <w:tcPr>
            <w:tcW w:w="351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有工作记录</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得2分。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97"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23</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党务工作情况在本单位进行公开，公开的方式、范围、内容符合《中国共产党党务公开条例（试行）》的要求。</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按照规定进行了党务公开，且党员、群众认可满意，得2分。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780" w:hRule="atLeast"/>
        </w:trPr>
        <w:tc>
          <w:tcPr>
            <w:tcW w:w="7631" w:type="dxa"/>
            <w:gridSpan w:val="3"/>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黑体" w:eastAsia="仿宋_GB2312" w:cs="宋体"/>
                <w:b/>
                <w:kern w:val="0"/>
                <w:szCs w:val="21"/>
              </w:rPr>
            </w:pPr>
            <w:r>
              <w:rPr>
                <w:rFonts w:hint="eastAsia" w:ascii="仿宋_GB2312" w:hAnsi="黑体" w:eastAsia="仿宋_GB2312" w:cs="宋体"/>
                <w:b/>
                <w:kern w:val="0"/>
                <w:szCs w:val="21"/>
              </w:rPr>
              <w:t>党风廉洁建设情况：</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21分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69"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24</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持续深入纠正“四风”，落实中央八项规定精神，结合本单位情况制定了相关的具体措施。</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有具体措施</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得3分</w:t>
            </w:r>
            <w:r>
              <w:rPr>
                <w:rFonts w:hint="eastAsia" w:ascii="仿宋_GB2312" w:hAnsi="宋体" w:eastAsia="仿宋_GB2312" w:cs="宋体"/>
                <w:kern w:val="0"/>
                <w:szCs w:val="21"/>
                <w:lang w:eastAsia="zh-CN"/>
              </w:rPr>
              <w:t>；</w:t>
            </w:r>
            <w:r>
              <w:rPr>
                <w:rFonts w:hint="eastAsia" w:ascii="仿宋_GB2312" w:hAnsi="宋体" w:eastAsia="仿宋_GB2312" w:cs="宋体"/>
                <w:kern w:val="0"/>
                <w:szCs w:val="21"/>
              </w:rPr>
              <w:t>如果存在因违反规定被上级党委处分的，此项不得分。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18"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25</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建立完善权责清晰、流程规范、风险明确、措施有力、预警及时的廉洁风险防控机制，加强对重点岗位、重点人员、重点资金廉洁风险点的动态监控和对防控措施落实情况的监督检查。</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根据各单位提交的廉洁风险排查报告以及实际推进情况酌情给分。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4分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86"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26</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落实党风廉洁建设责任，设立纪检部门或者专门纪检工作人员。</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设立得分，未设立不得分。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08"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27</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积极开展廉洁教育和廉洁文化进社会组织的活动，经常开展对党员干部的党规党纪教育和纪检基础知识学习。</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一年内开展活动3次及以上的得3分；开展2次的得2分；开展1次的得1分；未开展的不得分。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47"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28</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切实加强廉洁自律工作，党员干部无违法违纪违规</w:t>
            </w:r>
            <w:r>
              <w:rPr>
                <w:rFonts w:hint="eastAsia" w:ascii="仿宋_GB2312" w:hAnsi="宋体" w:eastAsia="仿宋_GB2312" w:cs="宋体"/>
                <w:kern w:val="0"/>
                <w:szCs w:val="21"/>
                <w:lang w:eastAsia="zh-CN"/>
              </w:rPr>
              <w:t>行为</w:t>
            </w:r>
            <w:r>
              <w:rPr>
                <w:rFonts w:hint="eastAsia" w:ascii="仿宋_GB2312" w:hAnsi="宋体" w:eastAsia="仿宋_GB2312" w:cs="宋体"/>
                <w:kern w:val="0"/>
                <w:szCs w:val="21"/>
              </w:rPr>
              <w:t>。</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无违法违纪违规的得3分，有违法违纪违规情况的不得分。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80"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29</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党组织班子成员团结，事业心、责任心强，热爱党务工作；民主渠道畅通，党员、群众的意见和建议能及时掌握并得到妥善处理，干部群众关系融洽，无矛盾突出的人和事。</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符合要求、无不良反映的得3分。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8"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30</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针对上一年度党建述职评议考核查摆问题进行整改。</w:t>
            </w:r>
          </w:p>
        </w:tc>
        <w:tc>
          <w:tcPr>
            <w:tcW w:w="3510" w:type="dxa"/>
            <w:tcBorders>
              <w:top w:val="nil"/>
              <w:left w:val="nil"/>
              <w:bottom w:val="single" w:color="auto" w:sz="4" w:space="0"/>
              <w:right w:val="nil"/>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根据整改措施的落实情况酌情给分。</w:t>
            </w:r>
          </w:p>
        </w:tc>
        <w:tc>
          <w:tcPr>
            <w:tcW w:w="767" w:type="dxa"/>
            <w:tcBorders>
              <w:top w:val="nil"/>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3分</w:t>
            </w:r>
          </w:p>
        </w:tc>
        <w:tc>
          <w:tcPr>
            <w:tcW w:w="958"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90" w:hRule="atLeast"/>
        </w:trPr>
        <w:tc>
          <w:tcPr>
            <w:tcW w:w="13991" w:type="dxa"/>
            <w:gridSpan w:val="6"/>
            <w:tcBorders>
              <w:top w:val="nil"/>
              <w:left w:val="single" w:color="auto" w:sz="4" w:space="0"/>
              <w:bottom w:val="nil"/>
              <w:right w:val="single" w:color="auto" w:sz="4" w:space="0"/>
            </w:tcBorders>
            <w:vAlign w:val="center"/>
          </w:tcPr>
          <w:p>
            <w:pPr>
              <w:widowControl/>
              <w:jc w:val="center"/>
              <w:rPr>
                <w:rFonts w:hint="eastAsia" w:ascii="仿宋_GB2312" w:hAnsi="宋体" w:eastAsia="仿宋_GB2312" w:cs="宋体"/>
                <w:kern w:val="0"/>
                <w:sz w:val="30"/>
                <w:szCs w:val="30"/>
              </w:rPr>
            </w:pPr>
            <w:r>
              <w:rPr>
                <w:rFonts w:hint="eastAsia" w:ascii="仿宋_GB2312" w:hAnsi="宋体" w:eastAsia="仿宋_GB2312" w:cs="宋体"/>
                <w:kern w:val="0"/>
                <w:sz w:val="30"/>
                <w:szCs w:val="30"/>
              </w:rPr>
              <w:t>加分指标:10分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0"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序号</w:t>
            </w:r>
          </w:p>
        </w:tc>
        <w:tc>
          <w:tcPr>
            <w:tcW w:w="3470" w:type="dxa"/>
            <w:tcBorders>
              <w:top w:val="single" w:color="auto" w:sz="4" w:space="0"/>
              <w:left w:val="nil"/>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 xml:space="preserve">指 标 内 容 </w:t>
            </w:r>
          </w:p>
        </w:tc>
        <w:tc>
          <w:tcPr>
            <w:tcW w:w="3510" w:type="dxa"/>
            <w:tcBorders>
              <w:top w:val="single" w:color="auto" w:sz="4" w:space="0"/>
              <w:left w:val="nil"/>
              <w:bottom w:val="single" w:color="auto" w:sz="4" w:space="0"/>
              <w:right w:val="nil"/>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评 分 标 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b/>
                <w:kern w:val="0"/>
                <w:szCs w:val="21"/>
              </w:rPr>
            </w:pPr>
            <w:r>
              <w:rPr>
                <w:rFonts w:hint="eastAsia" w:ascii="仿宋_GB2312" w:hAnsi="黑体" w:eastAsia="仿宋_GB2312" w:cs="宋体"/>
                <w:b/>
                <w:kern w:val="0"/>
                <w:szCs w:val="21"/>
              </w:rPr>
              <w:t>分值</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黑体" w:eastAsia="仿宋_GB2312" w:cs="宋体"/>
                <w:b/>
                <w:kern w:val="0"/>
                <w:szCs w:val="21"/>
              </w:rPr>
            </w:pP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黑体" w:eastAsia="仿宋_GB2312" w:cs="宋体"/>
                <w:b/>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67"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1</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落实管理层和党组织班子成员双向进入、交叉任职的情况。</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由社会组织负责人担任党组织负责人的得2分，中层管理人员担任</w:t>
            </w:r>
            <w:r>
              <w:rPr>
                <w:rFonts w:hint="eastAsia" w:ascii="仿宋_GB2312" w:hAnsi="宋体" w:eastAsia="仿宋_GB2312" w:cs="宋体"/>
                <w:kern w:val="0"/>
                <w:szCs w:val="21"/>
                <w:lang w:eastAsia="zh-CN"/>
              </w:rPr>
              <w:t>的</w:t>
            </w:r>
            <w:r>
              <w:rPr>
                <w:rFonts w:hint="eastAsia" w:ascii="仿宋_GB2312" w:hAnsi="宋体" w:eastAsia="仿宋_GB2312" w:cs="宋体"/>
                <w:kern w:val="0"/>
                <w:szCs w:val="21"/>
              </w:rPr>
              <w:t>得1分，其他人员担任不得分。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64"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2</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主动与业务联系司局联学联建，共同开展理论学习，进一步加强对习近平新时代中国特色社会主义思想和十九大精神的理解和领会，不断增强学习的针对性、实效性。</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查阅相关材料后给分。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80"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3</w:t>
            </w:r>
          </w:p>
        </w:tc>
        <w:tc>
          <w:tcPr>
            <w:tcW w:w="347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积极组织和发动党员参加脱贫攻坚、捐赠、援助等公益事业活动。</w:t>
            </w:r>
          </w:p>
        </w:tc>
        <w:tc>
          <w:tcPr>
            <w:tcW w:w="3510" w:type="dxa"/>
            <w:tcBorders>
              <w:top w:val="single" w:color="auto" w:sz="4" w:space="0"/>
              <w:left w:val="single" w:color="auto" w:sz="4" w:space="0"/>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查阅相关材料后给分。</w:t>
            </w:r>
          </w:p>
        </w:tc>
        <w:tc>
          <w:tcPr>
            <w:tcW w:w="767"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696" w:hRule="atLeast"/>
        </w:trPr>
        <w:tc>
          <w:tcPr>
            <w:tcW w:w="651" w:type="dxa"/>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4</w:t>
            </w:r>
          </w:p>
        </w:tc>
        <w:tc>
          <w:tcPr>
            <w:tcW w:w="347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认真总结提炼推广党支部工作法，在内容、形式、方法、机制等方面有创新，其经验做法受到中央组织部、中央宣传部或中央</w:t>
            </w:r>
            <w:r>
              <w:rPr>
                <w:rFonts w:hint="eastAsia" w:ascii="仿宋_GB2312" w:hAnsi="宋体" w:eastAsia="仿宋_GB2312" w:cs="宋体"/>
                <w:kern w:val="0"/>
                <w:szCs w:val="21"/>
                <w:lang w:eastAsia="zh-CN"/>
              </w:rPr>
              <w:t>和</w:t>
            </w:r>
            <w:r>
              <w:rPr>
                <w:rFonts w:hint="eastAsia" w:ascii="仿宋_GB2312" w:hAnsi="宋体" w:eastAsia="仿宋_GB2312" w:cs="宋体"/>
                <w:kern w:val="0"/>
                <w:szCs w:val="21"/>
              </w:rPr>
              <w:t>国家机关工委表彰或者推广介绍。</w:t>
            </w:r>
          </w:p>
        </w:tc>
        <w:tc>
          <w:tcPr>
            <w:tcW w:w="3510" w:type="dxa"/>
            <w:tcBorders>
              <w:top w:val="single" w:color="auto" w:sz="4" w:space="0"/>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查阅相关材料后给分。</w:t>
            </w:r>
          </w:p>
        </w:tc>
        <w:tc>
          <w:tcPr>
            <w:tcW w:w="767"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single" w:color="auto" w:sz="4" w:space="0"/>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39" w:hRule="atLeast"/>
        </w:trPr>
        <w:tc>
          <w:tcPr>
            <w:tcW w:w="651" w:type="dxa"/>
            <w:tcBorders>
              <w:top w:val="nil"/>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kern w:val="0"/>
                <w:szCs w:val="21"/>
              </w:rPr>
            </w:pPr>
            <w:r>
              <w:rPr>
                <w:rFonts w:hint="eastAsia" w:ascii="仿宋_GB2312" w:hAnsi="黑体" w:eastAsia="仿宋_GB2312" w:cs="宋体"/>
                <w:kern w:val="0"/>
                <w:szCs w:val="21"/>
              </w:rPr>
              <w:t>5</w:t>
            </w:r>
          </w:p>
        </w:tc>
        <w:tc>
          <w:tcPr>
            <w:tcW w:w="347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党建工作围绕中心、服务大局，发挥了党组织战斗堡垒作用和党员先锋模范作用，在落实中央重大决策部署，推进业务工作中成绩突出受到表彰。</w:t>
            </w:r>
          </w:p>
        </w:tc>
        <w:tc>
          <w:tcPr>
            <w:tcW w:w="3510" w:type="dxa"/>
            <w:tcBorders>
              <w:top w:val="nil"/>
              <w:left w:val="nil"/>
              <w:bottom w:val="single" w:color="auto" w:sz="4" w:space="0"/>
              <w:right w:val="single" w:color="auto" w:sz="4" w:space="0"/>
            </w:tcBorders>
            <w:vAlign w:val="center"/>
          </w:tcPr>
          <w:p>
            <w:pPr>
              <w:widowControl/>
              <w:jc w:val="left"/>
              <w:rPr>
                <w:rFonts w:ascii="仿宋_GB2312" w:hAnsi="宋体" w:eastAsia="仿宋_GB2312" w:cs="宋体"/>
                <w:kern w:val="0"/>
                <w:szCs w:val="21"/>
              </w:rPr>
            </w:pPr>
            <w:r>
              <w:rPr>
                <w:rFonts w:hint="eastAsia" w:ascii="仿宋_GB2312" w:hAnsi="宋体" w:eastAsia="仿宋_GB2312" w:cs="宋体"/>
                <w:kern w:val="0"/>
                <w:szCs w:val="21"/>
              </w:rPr>
              <w:t>查阅相关材料后给分。</w:t>
            </w:r>
          </w:p>
        </w:tc>
        <w:tc>
          <w:tcPr>
            <w:tcW w:w="767" w:type="dxa"/>
            <w:tcBorders>
              <w:top w:val="nil"/>
              <w:left w:val="nil"/>
              <w:bottom w:val="single" w:color="auto" w:sz="4" w:space="0"/>
              <w:right w:val="single" w:color="auto" w:sz="4" w:space="0"/>
            </w:tcBorders>
            <w:vAlign w:val="center"/>
          </w:tcPr>
          <w:p>
            <w:pPr>
              <w:widowControl/>
              <w:jc w:val="center"/>
              <w:rPr>
                <w:rFonts w:ascii="仿宋_GB2312" w:hAnsi="宋体" w:eastAsia="仿宋_GB2312" w:cs="宋体"/>
                <w:kern w:val="0"/>
                <w:szCs w:val="21"/>
              </w:rPr>
            </w:pPr>
            <w:r>
              <w:rPr>
                <w:rFonts w:hint="eastAsia" w:ascii="仿宋_GB2312" w:hAnsi="宋体" w:eastAsia="仿宋_GB2312" w:cs="宋体"/>
                <w:kern w:val="0"/>
                <w:szCs w:val="21"/>
              </w:rPr>
              <w:t>2分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宋体" w:eastAsia="仿宋_GB2312"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00" w:hRule="atLeast"/>
        </w:trPr>
        <w:tc>
          <w:tcPr>
            <w:tcW w:w="4121"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仿宋_GB2312" w:hAnsi="黑体" w:eastAsia="仿宋_GB2312" w:cs="宋体"/>
                <w:b/>
                <w:kern w:val="0"/>
                <w:sz w:val="30"/>
                <w:szCs w:val="30"/>
              </w:rPr>
            </w:pPr>
            <w:r>
              <w:rPr>
                <w:rFonts w:hint="eastAsia" w:ascii="仿宋_GB2312" w:hAnsi="黑体" w:eastAsia="仿宋_GB2312" w:cs="宋体"/>
                <w:b/>
                <w:kern w:val="0"/>
                <w:sz w:val="30"/>
                <w:szCs w:val="30"/>
              </w:rPr>
              <w:t>总分值</w:t>
            </w:r>
          </w:p>
        </w:tc>
        <w:tc>
          <w:tcPr>
            <w:tcW w:w="4277" w:type="dxa"/>
            <w:gridSpan w:val="2"/>
            <w:tcBorders>
              <w:top w:val="nil"/>
              <w:left w:val="nil"/>
              <w:bottom w:val="single" w:color="auto" w:sz="4" w:space="0"/>
              <w:right w:val="single" w:color="auto" w:sz="4" w:space="0"/>
            </w:tcBorders>
            <w:vAlign w:val="center"/>
          </w:tcPr>
          <w:p>
            <w:pPr>
              <w:widowControl/>
              <w:jc w:val="center"/>
              <w:rPr>
                <w:rFonts w:ascii="仿宋_GB2312" w:hAnsi="黑体" w:eastAsia="仿宋_GB2312" w:cs="宋体"/>
                <w:b/>
                <w:kern w:val="0"/>
                <w:sz w:val="30"/>
                <w:szCs w:val="30"/>
              </w:rPr>
            </w:pPr>
            <w:r>
              <w:rPr>
                <w:rFonts w:hint="eastAsia" w:ascii="仿宋_GB2312" w:hAnsi="黑体" w:eastAsia="仿宋_GB2312" w:cs="宋体"/>
                <w:b/>
                <w:kern w:val="0"/>
                <w:sz w:val="30"/>
                <w:szCs w:val="30"/>
              </w:rPr>
              <w:t>100分</w:t>
            </w:r>
          </w:p>
        </w:tc>
        <w:tc>
          <w:tcPr>
            <w:tcW w:w="958" w:type="dxa"/>
            <w:tcBorders>
              <w:top w:val="nil"/>
              <w:left w:val="nil"/>
              <w:bottom w:val="single" w:color="auto" w:sz="4" w:space="0"/>
              <w:right w:val="single" w:color="auto" w:sz="4" w:space="0"/>
            </w:tcBorders>
            <w:vAlign w:val="center"/>
          </w:tcPr>
          <w:p>
            <w:pPr>
              <w:widowControl/>
              <w:jc w:val="center"/>
              <w:rPr>
                <w:rFonts w:hint="eastAsia" w:ascii="仿宋_GB2312" w:hAnsi="黑体" w:eastAsia="仿宋_GB2312" w:cs="宋体"/>
                <w:b/>
                <w:kern w:val="0"/>
                <w:sz w:val="30"/>
                <w:szCs w:val="30"/>
                <w:lang w:eastAsia="zh-CN"/>
              </w:rPr>
            </w:pPr>
            <w:r>
              <w:rPr>
                <w:rFonts w:hint="eastAsia" w:ascii="仿宋_GB2312" w:hAnsi="黑体" w:eastAsia="仿宋_GB2312" w:cs="宋体"/>
                <w:b/>
                <w:kern w:val="0"/>
                <w:sz w:val="30"/>
                <w:szCs w:val="30"/>
                <w:lang w:eastAsia="zh-CN"/>
              </w:rPr>
              <w:t>得分</w:t>
            </w:r>
          </w:p>
        </w:tc>
        <w:tc>
          <w:tcPr>
            <w:tcW w:w="4635" w:type="dxa"/>
            <w:tcBorders>
              <w:top w:val="nil"/>
              <w:left w:val="nil"/>
              <w:bottom w:val="single" w:color="auto" w:sz="4" w:space="0"/>
              <w:right w:val="single" w:color="auto" w:sz="4" w:space="0"/>
            </w:tcBorders>
            <w:vAlign w:val="center"/>
          </w:tcPr>
          <w:p>
            <w:pPr>
              <w:widowControl/>
              <w:jc w:val="center"/>
              <w:rPr>
                <w:rFonts w:hint="eastAsia" w:ascii="仿宋_GB2312" w:hAnsi="黑体" w:eastAsia="仿宋_GB2312" w:cs="宋体"/>
                <w:b/>
                <w:kern w:val="0"/>
                <w:sz w:val="30"/>
                <w:szCs w:val="30"/>
              </w:rPr>
            </w:pPr>
          </w:p>
        </w:tc>
      </w:tr>
    </w:tbl>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sz w:val="28"/>
          <w:szCs w:val="28"/>
          <w:lang w:val="en-US" w:eastAsia="zh-CN"/>
        </w:rPr>
      </w:pPr>
      <w:r>
        <w:rPr>
          <w:rFonts w:hint="eastAsia"/>
          <w:sz w:val="28"/>
          <w:szCs w:val="28"/>
          <w:lang w:eastAsia="zh-CN"/>
        </w:rPr>
        <w:t>说明：</w:t>
      </w:r>
      <w:r>
        <w:rPr>
          <w:rFonts w:hint="eastAsia"/>
          <w:sz w:val="28"/>
          <w:szCs w:val="28"/>
          <w:lang w:val="en-US" w:eastAsia="zh-CN"/>
        </w:rPr>
        <w:t>1.得分理由请简明扼要填写，尽量用事实、数据说话，不写空话、套话。</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sz w:val="28"/>
          <w:szCs w:val="28"/>
          <w:lang w:val="en-US" w:eastAsia="zh-CN"/>
        </w:rPr>
      </w:pPr>
      <w:r>
        <w:rPr>
          <w:rFonts w:hint="eastAsia"/>
          <w:sz w:val="28"/>
          <w:szCs w:val="28"/>
          <w:lang w:val="en-US" w:eastAsia="zh-CN"/>
        </w:rPr>
        <w:t xml:space="preserve">      2.总得分高于90分为“好”，89-75分为“较好”，74-60分为“一般”，低于60分为“差”。</w:t>
      </w:r>
    </w:p>
    <w:p>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both"/>
        <w:textAlignment w:val="auto"/>
        <w:outlineLvl w:val="9"/>
        <w:rPr>
          <w:rFonts w:hint="eastAsia"/>
          <w:sz w:val="28"/>
          <w:szCs w:val="28"/>
          <w:lang w:val="en-US" w:eastAsia="zh-CN"/>
        </w:rPr>
      </w:pPr>
      <w:r>
        <w:rPr>
          <w:rFonts w:hint="eastAsia"/>
          <w:sz w:val="28"/>
          <w:szCs w:val="28"/>
          <w:lang w:val="en-US" w:eastAsia="zh-CN"/>
        </w:rPr>
        <w:t xml:space="preserve">      3.派驻党建工作指导员的部管社会组织不用进行自我评分，但需要提交党建工作述职报告。</w:t>
      </w:r>
    </w:p>
    <w:p>
      <w:bookmarkStart w:id="0" w:name="_GoBack"/>
      <w:bookmarkEnd w:id="0"/>
    </w:p>
    <w:sectPr>
      <w:footnotePr>
        <w:numFmt w:val="decimal"/>
      </w:footnotePr>
      <w:pgSz w:w="16838" w:h="11906" w:orient="landscape"/>
      <w:pgMar w:top="1417" w:right="1417" w:bottom="1134" w:left="1417" w:header="851" w:footer="992" w:gutter="0"/>
      <w:pgBorders>
        <w:top w:val="none" w:sz="0" w:space="0"/>
        <w:left w:val="none" w:sz="0" w:space="0"/>
        <w:bottom w:val="none" w:sz="0" w:space="0"/>
        <w:right w:val="none" w:sz="0" w:space="0"/>
      </w:pgBorders>
      <w:pgNumType w:fmt="decimal"/>
      <w:cols w:space="720" w:num="1"/>
      <w:rtlGutter w:val="0"/>
      <w:docGrid w:type="lines" w:linePitch="31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E40CAC"/>
    <w:rsid w:val="29E40CAC"/>
    <w:rsid w:val="7CAE2D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0" w:semiHidden="0" w:name="header"/>
    <w:lsdException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rPr>
  </w:style>
  <w:style w:type="character" w:default="1" w:styleId="4">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uiPriority w:val="0"/>
    <w:pPr>
      <w:tabs>
        <w:tab w:val="center" w:pos="4153"/>
        <w:tab w:val="right" w:pos="8306"/>
      </w:tabs>
      <w:snapToGrid w:val="0"/>
      <w:jc w:val="left"/>
    </w:pPr>
    <w:rPr>
      <w:sz w:val="18"/>
    </w:rPr>
  </w:style>
  <w:style w:type="paragraph" w:styleId="3">
    <w:name w:val="header"/>
    <w:basedOn w:val="1"/>
    <w:unhideWhenUsed/>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Office_11.1.0.8013_F1E327BC-269C-435d-A152-05C5408002CA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2018-12-10T06:08:00Z</dcterms:created>
  <dc:creator>杨若禹</dc:creator>
  <cp:lastModifiedBy>杨若禹</cp:lastModifiedBy>
  <dcterms:modified xsi:type="dcterms:W3CDTF">2018-12-10T06:08:37Z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ies>
</file>